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9" w:rsidRDefault="007552F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2pt;margin-top:-7.5pt;width:307.25pt;height:23.3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18379D" w:rsidRPr="0018379D" w:rsidRDefault="0018379D" w:rsidP="0056239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8379D">
                    <w:rPr>
                      <w:i/>
                      <w:sz w:val="28"/>
                      <w:szCs w:val="28"/>
                    </w:rPr>
                    <w:t>Conservation of Mechanical Energy Flowchart</w:t>
                  </w:r>
                </w:p>
              </w:txbxContent>
            </v:textbox>
          </v:shape>
        </w:pict>
      </w:r>
    </w:p>
    <w:p w:rsidR="0018379D" w:rsidRDefault="007552F4">
      <w:r>
        <w:rPr>
          <w:noProof/>
          <w:lang w:eastAsia="zh-TW"/>
        </w:rPr>
        <w:pict>
          <v:shape id="_x0000_s1052" type="#_x0000_t202" style="position:absolute;margin-left:53.3pt;margin-top:3.8pt;width:548.9pt;height:48.6pt;z-index:251685888;mso-height-percent:200;mso-height-percent:200;mso-width-relative:margin;mso-height-relative:margin" stroked="f">
            <v:fill opacity="0"/>
            <v:textbox style="mso-fit-shape-to-text:t">
              <w:txbxContent>
                <w:p w:rsidR="00FA5550" w:rsidRPr="00FA5550" w:rsidRDefault="00FA55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 this procedure when an object moves from one location to another AND there are no forces on the object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other than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gravity, normal force, or spring force.</w:t>
                  </w:r>
                  <w:r w:rsidR="00DD6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Also use this method for an object that swings on a rope like a pendulum.</w:t>
                  </w:r>
                </w:p>
              </w:txbxContent>
            </v:textbox>
          </v:shape>
        </w:pict>
      </w:r>
    </w:p>
    <w:p w:rsidR="0018379D" w:rsidRDefault="0018379D"/>
    <w:p w:rsidR="0018379D" w:rsidRDefault="0018379D"/>
    <w:p w:rsidR="0018379D" w:rsidRDefault="0018379D"/>
    <w:p w:rsidR="0018379D" w:rsidRDefault="0018379D"/>
    <w:p w:rsidR="0018379D" w:rsidRDefault="007552F4">
      <w:r>
        <w:rPr>
          <w:noProof/>
        </w:rPr>
        <w:pict>
          <v:group id="_x0000_s1048" style="position:absolute;margin-left:7.6pt;margin-top:5.05pt;width:718pt;height:166.5pt;z-index:251679744" coordorigin="1712,1886" coordsize="14360,3330">
            <v:shape id="_x0000_s1027" type="#_x0000_t202" style="position:absolute;left:4370;top:1886;width:3217;height:481;mso-height-percent:200;mso-height-percent:200;mso-width-relative:margin;mso-height-relative:margin">
              <v:textbox style="mso-fit-shape-to-text:t">
                <w:txbxContent>
                  <w:p w:rsidR="0018379D" w:rsidRPr="0018379D" w:rsidRDefault="0018379D" w:rsidP="0018379D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18379D">
                      <w:rPr>
                        <w:i/>
                        <w:sz w:val="28"/>
                        <w:szCs w:val="28"/>
                      </w:rPr>
                      <w:t>ME at time or position I</w:t>
                    </w:r>
                  </w:p>
                </w:txbxContent>
              </v:textbox>
            </v:shape>
            <v:shape id="_x0000_s1028" type="#_x0000_t202" style="position:absolute;left:8594;top:1887;width:3460;height:481;mso-height-percent:200;mso-height-percent:200;mso-width-relative:margin;mso-height-relative:margin">
              <v:textbox style="mso-fit-shape-to-text:t">
                <w:txbxContent>
                  <w:p w:rsidR="0018379D" w:rsidRPr="0018379D" w:rsidRDefault="0018379D" w:rsidP="0018379D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18379D">
                      <w:rPr>
                        <w:i/>
                        <w:sz w:val="28"/>
                        <w:szCs w:val="28"/>
                      </w:rPr>
                      <w:t>ME at time or position I</w:t>
                    </w: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1029" type="#_x0000_t202" style="position:absolute;left:7838;top:1894;width:463;height:466;mso-height-percent:200;mso-height-percent:200;mso-width-relative:margin;mso-height-relative:margin" stroked="f">
              <v:fill opacity="0"/>
              <v:textbox style="mso-fit-shape-to-text:t">
                <w:txbxContent>
                  <w:p w:rsidR="0018379D" w:rsidRPr="0018379D" w:rsidRDefault="0018379D">
                    <w:pPr>
                      <w:rPr>
                        <w:sz w:val="28"/>
                        <w:szCs w:val="28"/>
                      </w:rPr>
                    </w:pPr>
                    <w:r w:rsidRPr="0018379D">
                      <w:rPr>
                        <w:sz w:val="28"/>
                        <w:szCs w:val="28"/>
                      </w:rPr>
                      <w:t>=</w:t>
                    </w:r>
                  </w:p>
                </w:txbxContent>
              </v:textbox>
            </v:shape>
            <v:shape id="_x0000_s1030" type="#_x0000_t202" style="position:absolute;left:2626;top:3266;width:3784;height:481;mso-height-percent:200;mso-height-percent:200;mso-width-relative:margin;mso-height-relative:margin">
              <v:textbox style="mso-fit-shape-to-text:t">
                <w:txbxContent>
                  <w:p w:rsidR="0018379D" w:rsidRPr="0018379D" w:rsidRDefault="0018379D" w:rsidP="0018379D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ME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t>=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>KE</w:t>
                    </w:r>
                    <w:r w:rsidRPr="0018379D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 w:rsidRPr="0018379D">
                      <w:rPr>
                        <w:sz w:val="28"/>
                        <w:szCs w:val="28"/>
                      </w:rPr>
                      <w:t xml:space="preserve"> + 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>GPE</w:t>
                    </w:r>
                    <w:r w:rsidRPr="0018379D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Pr="0018379D">
                      <w:rPr>
                        <w:sz w:val="28"/>
                        <w:szCs w:val="28"/>
                      </w:rPr>
                      <w:t xml:space="preserve">+ 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>EPE</w:t>
                    </w:r>
                    <w:r w:rsidRPr="0018379D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</w:p>
                </w:txbxContent>
              </v:textbox>
            </v:shape>
            <v:shape id="_x0000_s1031" type="#_x0000_t202" style="position:absolute;left:9820;top:3245;width:3784;height:481;mso-height-percent:200;mso-height-percent:200;mso-width-relative:margin;mso-height-relative:margin">
              <v:textbox style="mso-fit-shape-to-text:t">
                <w:txbxContent>
                  <w:p w:rsidR="0018379D" w:rsidRPr="0018379D" w:rsidRDefault="0018379D" w:rsidP="0018379D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ME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</w:rPr>
                      <w:t>II</w:t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t>=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>KE</w:t>
                    </w:r>
                    <w:r w:rsidRPr="0018379D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 w:rsidRPr="0018379D">
                      <w:rPr>
                        <w:sz w:val="28"/>
                        <w:szCs w:val="28"/>
                      </w:rPr>
                      <w:t xml:space="preserve"> + 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>GPE</w:t>
                    </w:r>
                    <w:r w:rsidRPr="0018379D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Pr="0018379D">
                      <w:rPr>
                        <w:sz w:val="28"/>
                        <w:szCs w:val="28"/>
                      </w:rPr>
                      <w:t xml:space="preserve">+ </w:t>
                    </w:r>
                    <w:r w:rsidRPr="0018379D">
                      <w:rPr>
                        <w:i/>
                        <w:sz w:val="28"/>
                        <w:szCs w:val="28"/>
                      </w:rPr>
                      <w:t>EPE</w:t>
                    </w:r>
                    <w:r w:rsidRPr="0018379D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370;top:2368;width:850;height:877;flip:y" o:connectortype="straight">
              <v:stroke startarrow="block" endarrow="block"/>
            </v:shape>
            <v:shape id="_x0000_s1033" type="#_x0000_t32" style="position:absolute;left:10621;top:2368;width:850;height:877;flip:x y" o:connectortype="straight">
              <v:stroke startarrow="block" endarrow="block"/>
            </v:shape>
            <v:group id="_x0000_s1040" style="position:absolute;left:1712;top:3726;width:7060;height:1490" coordorigin="1712,4446" coordsize="7060,1490">
              <v:shape id="_x0000_s1034" type="#_x0000_t202" style="position:absolute;left:1712;top:5437;width:2200;height:481;mso-height-percent:200;mso-height-percent:200;mso-width-relative:margin;mso-height-relative:margin">
                <v:textbox style="mso-fit-shape-to-text:t">
                  <w:txbxContent>
                    <w:p w:rsidR="0018379D" w:rsidRPr="00562395" w:rsidRDefault="0018379D" w:rsidP="0018379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8379D">
                        <w:rPr>
                          <w:i/>
                          <w:sz w:val="28"/>
                          <w:szCs w:val="28"/>
                        </w:rPr>
                        <w:t>KE</w:t>
                      </w:r>
                      <w:r w:rsidRPr="0018379D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18379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562395">
                        <w:rPr>
                          <w:sz w:val="28"/>
                          <w:szCs w:val="28"/>
                        </w:rPr>
                        <w:t>½ mV</w:t>
                      </w:r>
                      <w:r w:rsidR="00562395">
                        <w:rPr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="00562395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  <v:shape id="_x0000_s1035" type="#_x0000_t202" style="position:absolute;left:4152;top:5446;width:2200;height:481;mso-height-percent:200;mso-height-percent:200;mso-width-relative:margin;mso-height-relative:margin">
                <v:textbox style="mso-fit-shape-to-text:t">
                  <w:txbxContent>
                    <w:p w:rsidR="00562395" w:rsidRPr="00562395" w:rsidRDefault="00562395" w:rsidP="00562395">
                      <w:pPr>
                        <w:jc w:val="center"/>
                        <w:rPr>
                          <w:i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GP</w:t>
                      </w:r>
                      <w:r w:rsidRPr="0018379D">
                        <w:rPr>
                          <w:i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18379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mgh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6572;top:5455;width:2200;height:481;mso-height-percent:200;mso-height-percent:200;mso-width-relative:margin;mso-height-relative:margin">
                <v:textbox style="mso-fit-shape-to-text:t">
                  <w:txbxContent>
                    <w:p w:rsidR="00562395" w:rsidRPr="00562395" w:rsidRDefault="00562395" w:rsidP="0056239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EP</w:t>
                      </w:r>
                      <w:r w:rsidRPr="0018379D">
                        <w:rPr>
                          <w:i/>
                          <w:sz w:val="28"/>
                          <w:szCs w:val="28"/>
                        </w:rPr>
                        <w:t>E</w:t>
                      </w:r>
                      <w:r w:rsidRPr="0018379D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18379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 ½ kX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  <v:shape id="_x0000_s1037" type="#_x0000_t32" style="position:absolute;left:2940;top:4446;width:972;height:991;flip:y" o:connectortype="straight">
                <v:stroke startarrow="block" endarrow="block"/>
              </v:shape>
              <v:shape id="_x0000_s1038" type="#_x0000_t32" style="position:absolute;left:4890;top:4446;width:225;height:1000;flip:x y" o:connectortype="straight">
                <v:stroke startarrow="block" endarrow="block"/>
              </v:shape>
              <v:shape id="_x0000_s1039" type="#_x0000_t32" style="position:absolute;left:5880;top:4467;width:1365;height:988;flip:x y" o:connectortype="straight">
                <v:stroke startarrow="block" endarrow="block"/>
              </v:shape>
            </v:group>
            <v:group id="_x0000_s1041" style="position:absolute;left:9012;top:3708;width:7060;height:1490" coordorigin="1712,4446" coordsize="7060,1490">
              <v:shape id="_x0000_s1042" type="#_x0000_t202" style="position:absolute;left:1712;top:5437;width:2200;height:481;mso-height-percent:200;mso-height-percent:200;mso-width-relative:margin;mso-height-relative:margin">
                <v:textbox style="mso-fit-shape-to-text:t">
                  <w:txbxContent>
                    <w:p w:rsidR="00562395" w:rsidRPr="00562395" w:rsidRDefault="00562395" w:rsidP="0056239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8379D">
                        <w:rPr>
                          <w:i/>
                          <w:sz w:val="28"/>
                          <w:szCs w:val="28"/>
                        </w:rPr>
                        <w:t>KE</w:t>
                      </w:r>
                      <w:r w:rsidRPr="0018379D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18379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 ½ mV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II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  <v:shape id="_x0000_s1043" type="#_x0000_t202" style="position:absolute;left:4152;top:5446;width:2200;height:481;mso-height-percent:200;mso-height-percent:200;mso-width-relative:margin;mso-height-relative:margin">
                <v:textbox style="mso-fit-shape-to-text:t">
                  <w:txbxContent>
                    <w:p w:rsidR="00562395" w:rsidRPr="00562395" w:rsidRDefault="00562395" w:rsidP="00562395">
                      <w:pPr>
                        <w:jc w:val="center"/>
                        <w:rPr>
                          <w:i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GP</w:t>
                      </w:r>
                      <w:r w:rsidRPr="0018379D">
                        <w:rPr>
                          <w:i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II</w:t>
                      </w:r>
                      <w:r w:rsidRPr="0018379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mgh</w:t>
                      </w:r>
                      <w:r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II</w:t>
                      </w:r>
                      <w:proofErr w:type="spellEnd"/>
                    </w:p>
                  </w:txbxContent>
                </v:textbox>
              </v:shape>
              <v:shape id="_x0000_s1044" type="#_x0000_t202" style="position:absolute;left:6572;top:5455;width:2200;height:481;mso-height-percent:200;mso-height-percent:200;mso-width-relative:margin;mso-height-relative:margin">
                <v:textbox style="mso-fit-shape-to-text:t">
                  <w:txbxContent>
                    <w:p w:rsidR="00562395" w:rsidRPr="00562395" w:rsidRDefault="00562395" w:rsidP="0056239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EP</w:t>
                      </w:r>
                      <w:r w:rsidRPr="0018379D">
                        <w:rPr>
                          <w:i/>
                          <w:sz w:val="28"/>
                          <w:szCs w:val="28"/>
                        </w:rPr>
                        <w:t>E</w:t>
                      </w:r>
                      <w:r w:rsidRPr="0018379D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18379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 ½ kX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II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  <v:shape id="_x0000_s1045" type="#_x0000_t32" style="position:absolute;left:2940;top:4446;width:972;height:991;flip:y" o:connectortype="straight">
                <v:stroke startarrow="block" endarrow="block"/>
              </v:shape>
              <v:shape id="_x0000_s1046" type="#_x0000_t32" style="position:absolute;left:4890;top:4446;width:225;height:1000;flip:x y" o:connectortype="straight">
                <v:stroke startarrow="block" endarrow="block"/>
              </v:shape>
              <v:shape id="_x0000_s1047" type="#_x0000_t32" style="position:absolute;left:5880;top:4467;width:1365;height:988;flip:x y" o:connectortype="straight">
                <v:stroke startarrow="block" endarrow="block"/>
              </v:shape>
            </v:group>
          </v:group>
        </w:pict>
      </w:r>
    </w:p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7552F4">
      <w:r>
        <w:rPr>
          <w:noProof/>
          <w:lang w:eastAsia="zh-TW"/>
        </w:rPr>
        <w:pict>
          <v:shape id="_x0000_s1051" type="#_x0000_t202" style="position:absolute;margin-left:421.9pt;margin-top:7.05pt;width:295.4pt;height:138.7pt;z-index:251683840;mso-width-relative:margin;mso-height-relative:margin">
            <v:textbox>
              <w:txbxContent>
                <w:p w:rsidR="000E7694" w:rsidRDefault="000E7694" w:rsidP="00AA00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symbols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in equations</w:t>
                  </w: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object in kg</w:t>
                  </w: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the object in m/s</w:t>
                  </w: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acceleration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due to gravity = 9.8 m/s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high the object is above the zero GPE level in m</w:t>
                  </w:r>
                </w:p>
                <w:p w:rsidR="00AA0083" w:rsidRDefault="00AA0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force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constant of a spring or spring constant in N/m</w:t>
                  </w:r>
                </w:p>
                <w:p w:rsidR="00AA0083" w:rsidRDefault="00AA0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far the spring is stretched or compressed from its</w:t>
                  </w:r>
                </w:p>
                <w:p w:rsidR="00AA0083" w:rsidRPr="00AA0083" w:rsidRDefault="00AA0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equilibirum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length in 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31.95pt;margin-top:7.05pt;width:369.3pt;height:138.7pt;z-index:251681792;mso-width-relative:margin;mso-height-relative:margin">
            <v:textbox>
              <w:txbxContent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If the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system object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moves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at constant speed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then eliminate the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KE’s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E7694" w:rsidRDefault="000E7694" w:rsidP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If the system object does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not change height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then eliminate the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GPE’s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E7694" w:rsidRDefault="000E7694" w:rsidP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If the situation does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not have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 spring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then eliminate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EPE’s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the problem does not tell you the mass of the object then</w:t>
                  </w: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assign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 mass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1 kg, 2 kg, or 10 kg are good choices.</w:t>
                  </w:r>
                </w:p>
                <w:p w:rsid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OR</w:t>
                  </w:r>
                </w:p>
                <w:p w:rsidR="000E7694" w:rsidRPr="000E7694" w:rsidRDefault="000E7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leave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the mass as a symbol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The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m’s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will cancel during the algebra.</w:t>
                  </w:r>
                </w:p>
              </w:txbxContent>
            </v:textbox>
          </v:shape>
        </w:pict>
      </w:r>
    </w:p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p w:rsidR="0018379D" w:rsidRDefault="0018379D"/>
    <w:sectPr w:rsidR="0018379D" w:rsidSect="00DD6E02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8379D"/>
    <w:rsid w:val="000E7694"/>
    <w:rsid w:val="0018379D"/>
    <w:rsid w:val="00202708"/>
    <w:rsid w:val="003E75B9"/>
    <w:rsid w:val="00562395"/>
    <w:rsid w:val="005D18E9"/>
    <w:rsid w:val="007552F4"/>
    <w:rsid w:val="00AA0083"/>
    <w:rsid w:val="00AD7D47"/>
    <w:rsid w:val="00C71694"/>
    <w:rsid w:val="00CC78C9"/>
    <w:rsid w:val="00D135A7"/>
    <w:rsid w:val="00D577B8"/>
    <w:rsid w:val="00DD6E02"/>
    <w:rsid w:val="00F57B29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9" type="connector" idref="#_x0000_s1038"/>
        <o:r id="V:Rule10" type="connector" idref="#_x0000_s1046"/>
        <o:r id="V:Rule11" type="connector" idref="#_x0000_s1045"/>
        <o:r id="V:Rule12" type="connector" idref="#_x0000_s1037"/>
        <o:r id="V:Rule13" type="connector" idref="#_x0000_s1039"/>
        <o:r id="V:Rule14" type="connector" idref="#_x0000_s1032"/>
        <o:r id="V:Rule15" type="connector" idref="#_x0000_s1033"/>
        <o:r id="V:Rule1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7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dguy</cp:lastModifiedBy>
  <cp:revision>2</cp:revision>
  <cp:lastPrinted>2015-03-30T15:30:00Z</cp:lastPrinted>
  <dcterms:created xsi:type="dcterms:W3CDTF">2015-03-30T15:31:00Z</dcterms:created>
  <dcterms:modified xsi:type="dcterms:W3CDTF">2015-03-30T15:31:00Z</dcterms:modified>
</cp:coreProperties>
</file>